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486B" w14:textId="77777777" w:rsidR="00FD13F3" w:rsidRPr="00E36E62" w:rsidRDefault="003F417E">
      <w:pPr>
        <w:spacing w:after="3" w:line="259" w:lineRule="auto"/>
        <w:ind w:left="47" w:firstLine="0"/>
        <w:jc w:val="center"/>
        <w:rPr>
          <w:rFonts w:ascii="Garamond" w:hAnsi="Garamond"/>
        </w:rPr>
      </w:pPr>
      <w:r w:rsidRPr="00E36E62">
        <w:rPr>
          <w:rFonts w:ascii="Garamond" w:hAnsi="Garamond"/>
          <w:b/>
        </w:rPr>
        <w:t>Client</w:t>
      </w:r>
      <w:r w:rsidRPr="00E36E62">
        <w:rPr>
          <w:rFonts w:ascii="Garamond" w:eastAsia="Times New Roman" w:hAnsi="Garamond" w:cs="Times New Roman"/>
          <w:b/>
        </w:rPr>
        <w:t>’</w:t>
      </w:r>
      <w:r w:rsidRPr="00E36E62">
        <w:rPr>
          <w:rFonts w:ascii="Garamond" w:hAnsi="Garamond"/>
          <w:b/>
        </w:rPr>
        <w:t xml:space="preserve">s Rights, Limitations and </w:t>
      </w:r>
      <w:r w:rsidR="004D2702" w:rsidRPr="00E36E62">
        <w:rPr>
          <w:rFonts w:ascii="Garamond" w:hAnsi="Garamond"/>
          <w:b/>
        </w:rPr>
        <w:t>Responsibilities</w:t>
      </w:r>
      <w:r w:rsidRPr="00E36E62">
        <w:rPr>
          <w:rFonts w:ascii="Garamond" w:hAnsi="Garamond"/>
          <w:b/>
        </w:rPr>
        <w:t xml:space="preserve"> </w:t>
      </w:r>
    </w:p>
    <w:p w14:paraId="2E900A0A" w14:textId="77777777" w:rsidR="00FD13F3" w:rsidRPr="00E36E62" w:rsidRDefault="003F417E" w:rsidP="004D2702">
      <w:pPr>
        <w:spacing w:after="0" w:line="259" w:lineRule="auto"/>
        <w:ind w:left="103" w:firstLine="0"/>
        <w:jc w:val="center"/>
        <w:rPr>
          <w:rFonts w:ascii="Garamond" w:hAnsi="Garamond"/>
        </w:rPr>
      </w:pPr>
      <w:r w:rsidRPr="00E36E62">
        <w:rPr>
          <w:rFonts w:ascii="Garamond" w:eastAsia="Calibri" w:hAnsi="Garamond" w:cs="Calibri"/>
          <w:b/>
        </w:rPr>
        <w:t xml:space="preserve"> </w:t>
      </w:r>
      <w:r w:rsidRPr="00E36E62">
        <w:rPr>
          <w:rFonts w:ascii="Garamond" w:hAnsi="Garamond"/>
          <w:b/>
        </w:rPr>
        <w:t xml:space="preserve">Alison Nightingale LPC </w:t>
      </w:r>
    </w:p>
    <w:p w14:paraId="66DDDAF3" w14:textId="7920830F" w:rsidR="00FD13F3" w:rsidRPr="00E36E62" w:rsidRDefault="00305211">
      <w:pPr>
        <w:spacing w:after="0" w:line="259" w:lineRule="auto"/>
        <w:ind w:left="60" w:hanging="10"/>
        <w:jc w:val="center"/>
        <w:rPr>
          <w:rFonts w:ascii="Garamond" w:hAnsi="Garamond"/>
        </w:rPr>
      </w:pPr>
      <w:r>
        <w:rPr>
          <w:rFonts w:ascii="Garamond" w:hAnsi="Garamond"/>
        </w:rPr>
        <w:t>3876 Monroe St</w:t>
      </w:r>
    </w:p>
    <w:p w14:paraId="3D3E3730" w14:textId="77777777" w:rsidR="00305211" w:rsidRDefault="00305211" w:rsidP="00305211">
      <w:pPr>
        <w:spacing w:after="0" w:line="259" w:lineRule="auto"/>
        <w:ind w:left="60" w:right="1" w:hanging="10"/>
        <w:jc w:val="center"/>
        <w:rPr>
          <w:rFonts w:ascii="Garamond" w:hAnsi="Garamond"/>
        </w:rPr>
      </w:pPr>
      <w:r>
        <w:rPr>
          <w:rFonts w:ascii="Garamond" w:hAnsi="Garamond"/>
        </w:rPr>
        <w:t>Eugene, OR 97405</w:t>
      </w:r>
    </w:p>
    <w:p w14:paraId="05AECF55" w14:textId="12BECFFF" w:rsidR="00FD13F3" w:rsidRPr="00E36E62" w:rsidRDefault="003F417E" w:rsidP="00305211">
      <w:pPr>
        <w:spacing w:after="0" w:line="259" w:lineRule="auto"/>
        <w:ind w:left="60" w:right="1" w:hanging="10"/>
        <w:jc w:val="center"/>
        <w:rPr>
          <w:rFonts w:ascii="Garamond" w:hAnsi="Garamond"/>
        </w:rPr>
      </w:pPr>
      <w:r w:rsidRPr="00E36E62">
        <w:rPr>
          <w:rFonts w:ascii="Garamond" w:hAnsi="Garamond"/>
        </w:rPr>
        <w:t xml:space="preserve">(541) 631-8086 </w:t>
      </w:r>
    </w:p>
    <w:p w14:paraId="1E54B4F7" w14:textId="77777777" w:rsidR="00FD13F3" w:rsidRPr="00E36E62" w:rsidRDefault="003F417E" w:rsidP="003F417E">
      <w:pPr>
        <w:spacing w:after="0" w:line="259" w:lineRule="auto"/>
        <w:rPr>
          <w:rFonts w:ascii="Garamond" w:hAnsi="Garamond"/>
        </w:rPr>
      </w:pPr>
      <w:r w:rsidRPr="00E36E62">
        <w:rPr>
          <w:rFonts w:ascii="Garamond" w:hAnsi="Garamond"/>
        </w:rPr>
        <w:t xml:space="preserve">Alison Nightingale LPC: </w:t>
      </w:r>
    </w:p>
    <w:p w14:paraId="32AF2D57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Cannot deny services to any person </w:t>
      </w:r>
      <w:proofErr w:type="gramStart"/>
      <w:r w:rsidRPr="003F417E">
        <w:rPr>
          <w:rFonts w:ascii="Garamond" w:hAnsi="Garamond"/>
        </w:rPr>
        <w:t>on the basis of</w:t>
      </w:r>
      <w:proofErr w:type="gramEnd"/>
      <w:r w:rsidRPr="003F417E">
        <w:rPr>
          <w:rFonts w:ascii="Garamond" w:hAnsi="Garamond"/>
        </w:rPr>
        <w:t xml:space="preserve"> race, color, creed, gender, sexual orientation, national origin, duration of residence, age or on the basis of any handicap. </w:t>
      </w:r>
    </w:p>
    <w:p w14:paraId="056B32A2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Each client will be treated with dignity and respect. </w:t>
      </w:r>
    </w:p>
    <w:p w14:paraId="7C822406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Each client shall have the right to the highest quality mental health treatment. </w:t>
      </w:r>
    </w:p>
    <w:p w14:paraId="27ACFCB5" w14:textId="77777777" w:rsidR="004D2702" w:rsidRPr="003F417E" w:rsidRDefault="003F417E" w:rsidP="004D2702">
      <w:pPr>
        <w:numPr>
          <w:ilvl w:val="0"/>
          <w:numId w:val="1"/>
        </w:numPr>
        <w:spacing w:after="21" w:line="242" w:lineRule="auto"/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The </w:t>
      </w:r>
      <w:r w:rsidRPr="003F417E">
        <w:rPr>
          <w:rFonts w:ascii="Garamond" w:eastAsia="Times New Roman" w:hAnsi="Garamond" w:cs="Times New Roman"/>
        </w:rPr>
        <w:t>“</w:t>
      </w:r>
      <w:r w:rsidRPr="003F417E">
        <w:rPr>
          <w:rFonts w:ascii="Garamond" w:hAnsi="Garamond"/>
        </w:rPr>
        <w:t>Rights of Records</w:t>
      </w:r>
      <w:r w:rsidRPr="003F417E">
        <w:rPr>
          <w:rFonts w:ascii="Garamond" w:eastAsia="Times New Roman" w:hAnsi="Garamond" w:cs="Times New Roman"/>
        </w:rPr>
        <w:t>”</w:t>
      </w:r>
      <w:r w:rsidRPr="003F417E">
        <w:rPr>
          <w:rFonts w:ascii="Garamond" w:hAnsi="Garamond"/>
        </w:rPr>
        <w:t xml:space="preserve"> confidentiality provides that all information and records obtained </w:t>
      </w:r>
      <w:proofErr w:type="gramStart"/>
      <w:r w:rsidRPr="003F417E">
        <w:rPr>
          <w:rFonts w:ascii="Garamond" w:hAnsi="Garamond"/>
        </w:rPr>
        <w:t>in the course of</w:t>
      </w:r>
      <w:proofErr w:type="gramEnd"/>
      <w:r w:rsidRPr="003F417E">
        <w:rPr>
          <w:rFonts w:ascii="Garamond" w:hAnsi="Garamond"/>
        </w:rPr>
        <w:t xml:space="preserve"> treatment shall be kept confidential. It will not be made public unless written consent has been obtained from the client prior disclosure. </w:t>
      </w:r>
    </w:p>
    <w:p w14:paraId="32676F6A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Oregon law requires some exceptions to absolute confidentiality: </w:t>
      </w:r>
    </w:p>
    <w:p w14:paraId="452A102C" w14:textId="77777777" w:rsidR="00FD13F3" w:rsidRPr="003F417E" w:rsidRDefault="003F417E">
      <w:pPr>
        <w:numPr>
          <w:ilvl w:val="1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If I am subpoenaed to testify in a court of law and there is an appropriate court order, I may have to give information without your permission, </w:t>
      </w:r>
      <w:r w:rsidR="004D2702" w:rsidRPr="003F417E">
        <w:rPr>
          <w:rFonts w:ascii="Garamond" w:hAnsi="Garamond"/>
        </w:rPr>
        <w:t>rarely</w:t>
      </w:r>
      <w:r w:rsidRPr="003F417E">
        <w:rPr>
          <w:rFonts w:ascii="Garamond" w:hAnsi="Garamond"/>
        </w:rPr>
        <w:t xml:space="preserve"> are subpoenas issued in this case. </w:t>
      </w:r>
    </w:p>
    <w:p w14:paraId="79BB3994" w14:textId="77777777" w:rsidR="00FD13F3" w:rsidRPr="003F417E" w:rsidRDefault="003F417E">
      <w:pPr>
        <w:numPr>
          <w:ilvl w:val="1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If I hear that harm has come to a child, elder, or </w:t>
      </w:r>
      <w:r w:rsidR="004D2702" w:rsidRPr="003F417E">
        <w:rPr>
          <w:rFonts w:ascii="Garamond" w:hAnsi="Garamond"/>
        </w:rPr>
        <w:t>dependent</w:t>
      </w:r>
      <w:r w:rsidRPr="003F417E">
        <w:rPr>
          <w:rFonts w:ascii="Garamond" w:hAnsi="Garamond"/>
        </w:rPr>
        <w:t xml:space="preserve"> adult by a client or another person, I am required to report this to the authorities. </w:t>
      </w:r>
    </w:p>
    <w:p w14:paraId="1E9CDB8D" w14:textId="77777777" w:rsidR="00FD13F3" w:rsidRPr="003F417E" w:rsidRDefault="003F417E">
      <w:pPr>
        <w:numPr>
          <w:ilvl w:val="1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If the client appears in danger of harming themselves or another person, I am required by law to report this to authorities, friends, or family members. </w:t>
      </w:r>
    </w:p>
    <w:p w14:paraId="029F8293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The right to know the cost of treatment in advance. </w:t>
      </w:r>
    </w:p>
    <w:p w14:paraId="3C60E66B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The right to expect that I have met the minimum qualifications of training and experience required by state law. </w:t>
      </w:r>
    </w:p>
    <w:p w14:paraId="6C74665F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The right to obtain the Code of Ethics </w:t>
      </w:r>
    </w:p>
    <w:p w14:paraId="488830A4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The right to examine public records held by the Board about my </w:t>
      </w:r>
      <w:r w:rsidR="004D2702" w:rsidRPr="003F417E">
        <w:rPr>
          <w:rFonts w:ascii="Garamond" w:hAnsi="Garamond"/>
        </w:rPr>
        <w:t>qualifications</w:t>
      </w:r>
      <w:r w:rsidRPr="003F417E">
        <w:rPr>
          <w:rFonts w:ascii="Garamond" w:hAnsi="Garamond"/>
        </w:rPr>
        <w:t xml:space="preserve">. </w:t>
      </w:r>
    </w:p>
    <w:p w14:paraId="2BBECD3C" w14:textId="5C7D4B5D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The right to file </w:t>
      </w:r>
      <w:r w:rsidR="004D2702" w:rsidRPr="003F417E">
        <w:rPr>
          <w:rFonts w:ascii="Garamond" w:hAnsi="Garamond"/>
        </w:rPr>
        <w:t>grievances</w:t>
      </w:r>
      <w:r w:rsidRPr="003F417E">
        <w:rPr>
          <w:rFonts w:ascii="Garamond" w:hAnsi="Garamond"/>
        </w:rPr>
        <w:t xml:space="preserve"> if dissatisfie</w:t>
      </w:r>
      <w:r w:rsidR="00C90FC5">
        <w:rPr>
          <w:rFonts w:ascii="Garamond" w:hAnsi="Garamond"/>
        </w:rPr>
        <w:t>d</w:t>
      </w:r>
      <w:r w:rsidRPr="003F417E">
        <w:rPr>
          <w:rFonts w:ascii="Garamond" w:hAnsi="Garamond"/>
        </w:rPr>
        <w:t xml:space="preserve"> with treatment. The </w:t>
      </w:r>
      <w:r w:rsidR="004D2702" w:rsidRPr="003F417E">
        <w:rPr>
          <w:rFonts w:ascii="Garamond" w:hAnsi="Garamond"/>
        </w:rPr>
        <w:t>exercise</w:t>
      </w:r>
      <w:r w:rsidRPr="003F417E">
        <w:rPr>
          <w:rFonts w:ascii="Garamond" w:hAnsi="Garamond"/>
        </w:rPr>
        <w:t xml:space="preserve"> of that right to file </w:t>
      </w:r>
      <w:r w:rsidR="004D2702" w:rsidRPr="003F417E">
        <w:rPr>
          <w:rFonts w:ascii="Garamond" w:hAnsi="Garamond"/>
        </w:rPr>
        <w:t>grievances</w:t>
      </w:r>
      <w:r w:rsidRPr="003F417E">
        <w:rPr>
          <w:rFonts w:ascii="Garamond" w:hAnsi="Garamond"/>
        </w:rPr>
        <w:t xml:space="preserve"> will not result in denial of further treatment. </w:t>
      </w:r>
    </w:p>
    <w:p w14:paraId="51D43F7A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>Each client will have th</w:t>
      </w:r>
      <w:r w:rsidR="004D2702" w:rsidRPr="003F417E">
        <w:rPr>
          <w:rFonts w:ascii="Garamond" w:hAnsi="Garamond"/>
        </w:rPr>
        <w:t>e</w:t>
      </w:r>
      <w:r w:rsidRPr="003F417E">
        <w:rPr>
          <w:rFonts w:ascii="Garamond" w:hAnsi="Garamond"/>
        </w:rPr>
        <w:t xml:space="preserve"> right to refuse specific treatment methods. Such refusal shall not jeopardize the client</w:t>
      </w:r>
      <w:r w:rsidRPr="003F417E">
        <w:rPr>
          <w:rFonts w:ascii="Garamond" w:eastAsia="Times New Roman" w:hAnsi="Garamond" w:cs="Times New Roman"/>
        </w:rPr>
        <w:t>’</w:t>
      </w:r>
      <w:r w:rsidRPr="003F417E">
        <w:rPr>
          <w:rFonts w:ascii="Garamond" w:hAnsi="Garamond"/>
        </w:rPr>
        <w:t xml:space="preserve">s right to receive other forms of treatment as desired and appropriate unless otherwise ordered by the court. </w:t>
      </w:r>
    </w:p>
    <w:p w14:paraId="56940C80" w14:textId="77777777" w:rsidR="00FD13F3" w:rsidRPr="003F417E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Clients shall not arrive for appointments, interviews, or other therapeutic </w:t>
      </w:r>
      <w:r w:rsidR="004D2702" w:rsidRPr="003F417E">
        <w:rPr>
          <w:rFonts w:ascii="Garamond" w:hAnsi="Garamond"/>
        </w:rPr>
        <w:t>activities</w:t>
      </w:r>
      <w:r w:rsidRPr="003F417E">
        <w:rPr>
          <w:rFonts w:ascii="Garamond" w:hAnsi="Garamond"/>
        </w:rPr>
        <w:t xml:space="preserve"> after consuming alcohol or </w:t>
      </w:r>
      <w:r w:rsidR="004D2702" w:rsidRPr="003F417E">
        <w:rPr>
          <w:rFonts w:ascii="Garamond" w:hAnsi="Garamond"/>
        </w:rPr>
        <w:t>unprescribed</w:t>
      </w:r>
      <w:r w:rsidRPr="003F417E">
        <w:rPr>
          <w:rFonts w:ascii="Garamond" w:hAnsi="Garamond"/>
        </w:rPr>
        <w:t xml:space="preserve"> psychoactive drugs. </w:t>
      </w:r>
    </w:p>
    <w:p w14:paraId="08B07AE5" w14:textId="77777777" w:rsidR="00FD13F3" w:rsidRDefault="003F417E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3F417E">
        <w:rPr>
          <w:rFonts w:ascii="Garamond" w:hAnsi="Garamond"/>
        </w:rPr>
        <w:t xml:space="preserve">Clients shall conduct themselves appropriately while in the office building of Alison Nightingale LPC, i.e. no physically or verbally aggressive acts. </w:t>
      </w:r>
    </w:p>
    <w:p w14:paraId="1B1B1146" w14:textId="77777777" w:rsidR="00FD13F3" w:rsidRPr="00A406F6" w:rsidRDefault="003F417E" w:rsidP="00A406F6">
      <w:pPr>
        <w:rPr>
          <w:rFonts w:ascii="Garamond" w:hAnsi="Garamond"/>
        </w:rPr>
      </w:pPr>
      <w:r w:rsidRPr="00A406F6">
        <w:rPr>
          <w:rFonts w:ascii="Garamond" w:hAnsi="Garamond"/>
          <w:b/>
        </w:rPr>
        <w:t xml:space="preserve">To contact the Oregon Board of </w:t>
      </w:r>
      <w:r w:rsidR="004D2702" w:rsidRPr="00A406F6">
        <w:rPr>
          <w:rFonts w:ascii="Garamond" w:hAnsi="Garamond"/>
          <w:b/>
        </w:rPr>
        <w:t>Licensed</w:t>
      </w:r>
      <w:r w:rsidRPr="00A406F6">
        <w:rPr>
          <w:rFonts w:ascii="Garamond" w:hAnsi="Garamond"/>
          <w:b/>
        </w:rPr>
        <w:t xml:space="preserve"> Professional Counselors and Therapists: </w:t>
      </w:r>
    </w:p>
    <w:p w14:paraId="7872767B" w14:textId="624C4A20" w:rsidR="00FD13F3" w:rsidRDefault="003F417E">
      <w:pPr>
        <w:ind w:left="0" w:firstLine="0"/>
        <w:rPr>
          <w:rFonts w:ascii="Garamond" w:hAnsi="Garamond"/>
        </w:rPr>
      </w:pPr>
      <w:r w:rsidRPr="003F417E">
        <w:rPr>
          <w:rFonts w:ascii="Garamond" w:hAnsi="Garamond"/>
        </w:rPr>
        <w:t>3218 Pringle Rd. SE #250, Salem, OR 97302-6321 Ph #: (503) 378-5499</w:t>
      </w:r>
      <w:r w:rsidR="00A406F6">
        <w:rPr>
          <w:rFonts w:ascii="Garamond" w:hAnsi="Garamond"/>
        </w:rPr>
        <w:t xml:space="preserve">, </w:t>
      </w:r>
      <w:hyperlink r:id="rId5" w:history="1">
        <w:r w:rsidR="00A406F6" w:rsidRPr="000754FE">
          <w:rPr>
            <w:rStyle w:val="Hyperlink"/>
            <w:rFonts w:ascii="Garamond" w:hAnsi="Garamond"/>
          </w:rPr>
          <w:t>lpct.board@mhra.oregon.gov</w:t>
        </w:r>
      </w:hyperlink>
      <w:r w:rsidR="00A406F6">
        <w:rPr>
          <w:rFonts w:ascii="Garamond" w:hAnsi="Garamond"/>
        </w:rPr>
        <w:t xml:space="preserve"> </w:t>
      </w:r>
    </w:p>
    <w:p w14:paraId="23C4A9B5" w14:textId="3250746A" w:rsidR="00A406F6" w:rsidRDefault="00A406F6">
      <w:pPr>
        <w:ind w:left="0" w:firstLine="0"/>
        <w:rPr>
          <w:rFonts w:ascii="Garamond" w:hAnsi="Garamond"/>
        </w:rPr>
      </w:pPr>
      <w:r>
        <w:rPr>
          <w:rFonts w:ascii="Garamond" w:hAnsi="Garamond"/>
        </w:rPr>
        <w:t>Additional information about Alison Nightingale LPC is available on the Board’s website: www.oregon.gov/oblpct</w:t>
      </w:r>
    </w:p>
    <w:p w14:paraId="39443C51" w14:textId="77777777" w:rsidR="00FD13F3" w:rsidRPr="003F417E" w:rsidRDefault="003F417E">
      <w:pPr>
        <w:spacing w:after="0" w:line="259" w:lineRule="auto"/>
        <w:ind w:left="0" w:firstLine="0"/>
        <w:rPr>
          <w:rFonts w:ascii="Garamond" w:hAnsi="Garamond"/>
        </w:rPr>
      </w:pPr>
      <w:r w:rsidRPr="003F417E">
        <w:rPr>
          <w:rFonts w:ascii="Garamond" w:hAnsi="Garamond"/>
        </w:rPr>
        <w:t xml:space="preserve"> </w:t>
      </w:r>
      <w:r w:rsidRPr="003F417E">
        <w:rPr>
          <w:rFonts w:ascii="Garamond" w:hAnsi="Garamond"/>
          <w:b/>
          <w:u w:val="single" w:color="000000"/>
        </w:rPr>
        <w:t>I have read these statements and understand my rights as outlines above.</w:t>
      </w:r>
      <w:r w:rsidRPr="003F417E">
        <w:rPr>
          <w:rFonts w:ascii="Garamond" w:hAnsi="Garamond"/>
          <w:b/>
        </w:rPr>
        <w:t xml:space="preserve"> </w:t>
      </w:r>
    </w:p>
    <w:p w14:paraId="09CAD362" w14:textId="77777777" w:rsidR="00FD13F3" w:rsidRPr="003F417E" w:rsidRDefault="003F417E" w:rsidP="003F417E">
      <w:pPr>
        <w:spacing w:after="0" w:line="259" w:lineRule="auto"/>
        <w:ind w:left="0" w:firstLine="0"/>
        <w:rPr>
          <w:rFonts w:ascii="Garamond" w:hAnsi="Garamond"/>
        </w:rPr>
      </w:pPr>
      <w:r w:rsidRPr="003F417E">
        <w:rPr>
          <w:rFonts w:ascii="Garamond" w:hAnsi="Garamond"/>
          <w:b/>
        </w:rPr>
        <w:t xml:space="preserve"> </w:t>
      </w:r>
      <w:r w:rsidRPr="003F417E">
        <w:rPr>
          <w:rFonts w:ascii="Garamond" w:eastAsia="Calibri" w:hAnsi="Garamond" w:cs="Calibri"/>
          <w:noProof/>
        </w:rPr>
        <mc:AlternateContent>
          <mc:Choice Requires="wpg">
            <w:drawing>
              <wp:inline distT="0" distB="0" distL="0" distR="0" wp14:anchorId="0C6D44BE" wp14:editId="56F2DC9A">
                <wp:extent cx="5523865" cy="18289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9"/>
                          <a:chOff x="0" y="0"/>
                          <a:chExt cx="5523865" cy="18289"/>
                        </a:xfrm>
                      </wpg:grpSpPr>
                      <wps:wsp>
                        <wps:cNvPr id="1915" name="Shape 1915"/>
                        <wps:cNvSpPr/>
                        <wps:spPr>
                          <a:xfrm>
                            <a:off x="0" y="0"/>
                            <a:ext cx="552386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9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8" style="width:434.95pt;height:1.44006pt;mso-position-horizontal-relative:char;mso-position-vertical-relative:line" coordsize="55238,182">
                <v:shape id="Shape 1916" style="position:absolute;width:55238;height:182;left:0;top:0;" coordsize="5523865,18289" path="m0,0l5523865,0l552386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1C15EA" w14:textId="77777777" w:rsidR="00FD13F3" w:rsidRPr="003F417E" w:rsidRDefault="003F417E">
      <w:pPr>
        <w:spacing w:after="3" w:line="259" w:lineRule="auto"/>
        <w:ind w:left="-5" w:hanging="10"/>
        <w:rPr>
          <w:rFonts w:ascii="Garamond" w:hAnsi="Garamond"/>
        </w:rPr>
      </w:pPr>
      <w:r w:rsidRPr="003F417E">
        <w:rPr>
          <w:rFonts w:ascii="Garamond" w:eastAsia="Calibri" w:hAnsi="Garamond" w:cs="Calibri"/>
        </w:rPr>
        <w:t xml:space="preserve">Client                                                                                                                  Date </w:t>
      </w:r>
    </w:p>
    <w:p w14:paraId="61819E81" w14:textId="77777777" w:rsidR="00FD13F3" w:rsidRPr="003F417E" w:rsidRDefault="003F417E">
      <w:pPr>
        <w:spacing w:after="0" w:line="259" w:lineRule="auto"/>
        <w:ind w:left="0" w:firstLine="0"/>
        <w:rPr>
          <w:rFonts w:ascii="Garamond" w:hAnsi="Garamond"/>
        </w:rPr>
      </w:pPr>
      <w:r w:rsidRPr="003F417E">
        <w:rPr>
          <w:rFonts w:ascii="Garamond" w:eastAsia="Calibri" w:hAnsi="Garamond" w:cs="Calibri"/>
        </w:rPr>
        <w:t xml:space="preserve"> </w:t>
      </w:r>
    </w:p>
    <w:p w14:paraId="44AA954D" w14:textId="77777777" w:rsidR="00FD13F3" w:rsidRPr="003F417E" w:rsidRDefault="003F417E">
      <w:pPr>
        <w:spacing w:after="0" w:line="259" w:lineRule="auto"/>
        <w:ind w:left="0" w:firstLine="0"/>
        <w:rPr>
          <w:rFonts w:ascii="Garamond" w:hAnsi="Garamond"/>
        </w:rPr>
      </w:pPr>
      <w:r w:rsidRPr="003F417E">
        <w:rPr>
          <w:rFonts w:ascii="Garamond" w:eastAsia="Calibri" w:hAnsi="Garamond" w:cs="Calibri"/>
        </w:rPr>
        <w:t xml:space="preserve"> </w:t>
      </w:r>
    </w:p>
    <w:p w14:paraId="5F2E8E07" w14:textId="77777777" w:rsidR="00FD13F3" w:rsidRPr="003F417E" w:rsidRDefault="003F417E">
      <w:pPr>
        <w:spacing w:after="50" w:line="259" w:lineRule="auto"/>
        <w:ind w:left="-29" w:right="-78" w:firstLine="0"/>
        <w:rPr>
          <w:rFonts w:ascii="Garamond" w:hAnsi="Garamond"/>
        </w:rPr>
      </w:pPr>
      <w:r w:rsidRPr="003F417E">
        <w:rPr>
          <w:rFonts w:ascii="Garamond" w:eastAsia="Calibri" w:hAnsi="Garamond" w:cs="Calibri"/>
          <w:noProof/>
        </w:rPr>
        <mc:AlternateContent>
          <mc:Choice Requires="wpg">
            <w:drawing>
              <wp:inline distT="0" distB="0" distL="0" distR="0" wp14:anchorId="3E05E6E6" wp14:editId="0377CF10">
                <wp:extent cx="5523865" cy="18287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7"/>
                          <a:chOff x="0" y="0"/>
                          <a:chExt cx="5523865" cy="18287"/>
                        </a:xfrm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552386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7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434.95pt;height:1.43994pt;mso-position-horizontal-relative:char;mso-position-vertical-relative:line" coordsize="55238,182">
                <v:shape id="Shape 1918" style="position:absolute;width:55238;height:182;left:0;top:0;" coordsize="5523865,18287" path="m0,0l5523865,0l552386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0B8154" w14:textId="77777777" w:rsidR="00FD13F3" w:rsidRPr="003F417E" w:rsidRDefault="003F417E" w:rsidP="004D2702">
      <w:pPr>
        <w:spacing w:after="3" w:line="259" w:lineRule="auto"/>
        <w:ind w:left="-5" w:hanging="10"/>
        <w:rPr>
          <w:rFonts w:ascii="Garamond" w:hAnsi="Garamond"/>
        </w:rPr>
      </w:pPr>
      <w:r w:rsidRPr="003F417E">
        <w:rPr>
          <w:rFonts w:ascii="Garamond" w:eastAsia="Calibri" w:hAnsi="Garamond" w:cs="Calibri"/>
        </w:rPr>
        <w:t xml:space="preserve">Witness                                                                                                    </w:t>
      </w:r>
      <w:r w:rsidR="004D2702" w:rsidRPr="003F417E">
        <w:rPr>
          <w:rFonts w:ascii="Garamond" w:eastAsia="Calibri" w:hAnsi="Garamond" w:cs="Calibri"/>
        </w:rPr>
        <w:t xml:space="preserve">          Date</w:t>
      </w:r>
    </w:p>
    <w:sectPr w:rsidR="00FD13F3" w:rsidRPr="003F417E">
      <w:pgSz w:w="12240" w:h="15840"/>
      <w:pgMar w:top="1440" w:right="184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618"/>
    <w:multiLevelType w:val="hybridMultilevel"/>
    <w:tmpl w:val="9C9C96E4"/>
    <w:lvl w:ilvl="0" w:tplc="3AF8ABCA">
      <w:start w:val="1"/>
      <w:numFmt w:val="bullet"/>
      <w:lvlText w:val="-"/>
      <w:lvlJc w:val="left"/>
      <w:pPr>
        <w:ind w:left="705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15E">
      <w:start w:val="1"/>
      <w:numFmt w:val="decimal"/>
      <w:lvlText w:val="%2)"/>
      <w:lvlJc w:val="left"/>
      <w:pPr>
        <w:ind w:left="108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BB24">
      <w:start w:val="1"/>
      <w:numFmt w:val="lowerRoman"/>
      <w:lvlText w:val="%3"/>
      <w:lvlJc w:val="left"/>
      <w:pPr>
        <w:ind w:left="180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A087C">
      <w:start w:val="1"/>
      <w:numFmt w:val="decimal"/>
      <w:lvlText w:val="%4"/>
      <w:lvlJc w:val="left"/>
      <w:pPr>
        <w:ind w:left="252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2117A">
      <w:start w:val="1"/>
      <w:numFmt w:val="lowerLetter"/>
      <w:lvlText w:val="%5"/>
      <w:lvlJc w:val="left"/>
      <w:pPr>
        <w:ind w:left="324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A568A">
      <w:start w:val="1"/>
      <w:numFmt w:val="lowerRoman"/>
      <w:lvlText w:val="%6"/>
      <w:lvlJc w:val="left"/>
      <w:pPr>
        <w:ind w:left="396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4D778">
      <w:start w:val="1"/>
      <w:numFmt w:val="decimal"/>
      <w:lvlText w:val="%7"/>
      <w:lvlJc w:val="left"/>
      <w:pPr>
        <w:ind w:left="468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A6712">
      <w:start w:val="1"/>
      <w:numFmt w:val="lowerLetter"/>
      <w:lvlText w:val="%8"/>
      <w:lvlJc w:val="left"/>
      <w:pPr>
        <w:ind w:left="540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C3C10">
      <w:start w:val="1"/>
      <w:numFmt w:val="lowerRoman"/>
      <w:lvlText w:val="%9"/>
      <w:lvlJc w:val="left"/>
      <w:pPr>
        <w:ind w:left="6120"/>
      </w:pPr>
      <w:rPr>
        <w:rFonts w:ascii="Crimson" w:eastAsia="Crimson" w:hAnsi="Crimson" w:cs="Crimso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936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F3"/>
    <w:rsid w:val="00305211"/>
    <w:rsid w:val="00387885"/>
    <w:rsid w:val="003F417E"/>
    <w:rsid w:val="004D2702"/>
    <w:rsid w:val="00A406F6"/>
    <w:rsid w:val="00C90FC5"/>
    <w:rsid w:val="00CA018B"/>
    <w:rsid w:val="00E36E62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5802"/>
  <w15:docId w15:val="{491DE17D-C6D8-427E-AA15-94E7AAE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370" w:hanging="370"/>
    </w:pPr>
    <w:rPr>
      <w:rFonts w:ascii="Crimson" w:eastAsia="Crimson" w:hAnsi="Crimson" w:cs="Crimso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E"/>
    <w:rPr>
      <w:rFonts w:ascii="Segoe UI" w:eastAsia="Crimso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ct.board@mhra.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Tonya Meeks, MFTI 60735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Tonya Meeks, MFTI 60735</dc:title>
  <dc:subject/>
  <dc:creator>Tonya Meeks</dc:creator>
  <cp:keywords/>
  <cp:lastModifiedBy>Alison Nightingale</cp:lastModifiedBy>
  <cp:revision>2</cp:revision>
  <cp:lastPrinted>2018-01-22T00:07:00Z</cp:lastPrinted>
  <dcterms:created xsi:type="dcterms:W3CDTF">2023-09-21T15:56:00Z</dcterms:created>
  <dcterms:modified xsi:type="dcterms:W3CDTF">2023-09-21T15:56:00Z</dcterms:modified>
</cp:coreProperties>
</file>